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59"/>
        <w:gridCol w:w="3685"/>
        <w:gridCol w:w="2322"/>
        <w:gridCol w:w="2322"/>
      </w:tblGrid>
      <w:tr w:rsidR="00D66011" w:rsidTr="007837F3">
        <w:tc>
          <w:tcPr>
            <w:tcW w:w="959" w:type="dxa"/>
          </w:tcPr>
          <w:p w:rsidR="00D66011" w:rsidRDefault="00D66011">
            <w:r>
              <w:t>Année</w:t>
            </w:r>
          </w:p>
        </w:tc>
        <w:tc>
          <w:tcPr>
            <w:tcW w:w="3685" w:type="dxa"/>
          </w:tcPr>
          <w:p w:rsidR="00D66011" w:rsidRDefault="00D66011">
            <w:r>
              <w:t xml:space="preserve">Titre </w:t>
            </w:r>
          </w:p>
        </w:tc>
        <w:tc>
          <w:tcPr>
            <w:tcW w:w="2322" w:type="dxa"/>
          </w:tcPr>
          <w:p w:rsidR="00D66011" w:rsidRDefault="00D66011" w:rsidP="00D66011">
            <w:r>
              <w:t>Nom du doctorant</w:t>
            </w:r>
          </w:p>
        </w:tc>
        <w:tc>
          <w:tcPr>
            <w:tcW w:w="2322" w:type="dxa"/>
          </w:tcPr>
          <w:p w:rsidR="00D66011" w:rsidRDefault="00D66011">
            <w:r>
              <w:t xml:space="preserve">Encadrant </w:t>
            </w:r>
          </w:p>
        </w:tc>
      </w:tr>
      <w:tr w:rsidR="00D66011" w:rsidTr="007837F3">
        <w:tc>
          <w:tcPr>
            <w:tcW w:w="959" w:type="dxa"/>
          </w:tcPr>
          <w:p w:rsidR="00D66011" w:rsidRDefault="00D66011">
            <w:r>
              <w:t>2024</w:t>
            </w:r>
          </w:p>
        </w:tc>
        <w:tc>
          <w:tcPr>
            <w:tcW w:w="3685" w:type="dxa"/>
          </w:tcPr>
          <w:p w:rsidR="00D66011" w:rsidRDefault="00D66011"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Impact des mécanismes de gouvernance sur la performance des compagnies d’assurance ATAKAFUL: cas des pays MENA.</w:t>
            </w:r>
          </w:p>
        </w:tc>
        <w:tc>
          <w:tcPr>
            <w:tcW w:w="2322" w:type="dxa"/>
          </w:tcPr>
          <w:p w:rsidR="00D66011" w:rsidRDefault="00D66011">
            <w:r>
              <w:t xml:space="preserve">Mohamed </w:t>
            </w:r>
            <w:proofErr w:type="spellStart"/>
            <w:r>
              <w:t>Naceur</w:t>
            </w:r>
            <w:proofErr w:type="spellEnd"/>
            <w:r>
              <w:t xml:space="preserve"> </w:t>
            </w:r>
            <w:proofErr w:type="spellStart"/>
            <w:r>
              <w:t>Bettoumi</w:t>
            </w:r>
            <w:proofErr w:type="spellEnd"/>
            <w:r>
              <w:t xml:space="preserve"> </w:t>
            </w:r>
          </w:p>
        </w:tc>
        <w:tc>
          <w:tcPr>
            <w:tcW w:w="2322" w:type="dxa"/>
          </w:tcPr>
          <w:p w:rsidR="00D66011" w:rsidRDefault="00D66011">
            <w:r>
              <w:t xml:space="preserve">Samir </w:t>
            </w:r>
            <w:proofErr w:type="spellStart"/>
            <w:r>
              <w:t>Srairi</w:t>
            </w:r>
            <w:proofErr w:type="spellEnd"/>
            <w:r>
              <w:t xml:space="preserve"> 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>
            <w:r>
              <w:t>2024</w:t>
            </w:r>
          </w:p>
        </w:tc>
        <w:tc>
          <w:tcPr>
            <w:tcW w:w="3685" w:type="dxa"/>
          </w:tcPr>
          <w:p w:rsidR="00D66011" w:rsidRPr="004C71D6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Economic Policy Uncertainty, Managerial Hubris, Market</w:t>
            </w:r>
          </w:p>
          <w:p w:rsidR="00D66011" w:rsidRPr="004C71D6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 xml:space="preserve"> Timing And Managerial </w:t>
            </w:r>
          </w:p>
          <w:p w:rsidR="00D66011" w:rsidRPr="004C71D6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 xml:space="preserve">Decision-Making </w:t>
            </w:r>
          </w:p>
          <w:p w:rsidR="00D66011" w:rsidRDefault="00D66011" w:rsidP="00D66011"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(Case Of American Companies)</w:t>
            </w:r>
          </w:p>
        </w:tc>
        <w:tc>
          <w:tcPr>
            <w:tcW w:w="2322" w:type="dxa"/>
          </w:tcPr>
          <w:p w:rsidR="00D66011" w:rsidRDefault="00D66011">
            <w:proofErr w:type="spellStart"/>
            <w:r>
              <w:t>Souhir</w:t>
            </w:r>
            <w:proofErr w:type="spellEnd"/>
            <w:r>
              <w:t xml:space="preserve"> </w:t>
            </w:r>
            <w:proofErr w:type="spellStart"/>
            <w:r>
              <w:t>Bennaceur</w:t>
            </w:r>
            <w:proofErr w:type="spellEnd"/>
          </w:p>
        </w:tc>
        <w:tc>
          <w:tcPr>
            <w:tcW w:w="2322" w:type="dxa"/>
          </w:tcPr>
          <w:p w:rsidR="00D66011" w:rsidRDefault="00D66011">
            <w:r>
              <w:t>Kamel Naoui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>
            <w:r>
              <w:t>2024</w:t>
            </w:r>
          </w:p>
        </w:tc>
        <w:tc>
          <w:tcPr>
            <w:tcW w:w="3685" w:type="dxa"/>
          </w:tcPr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Sphère Réelle vs Sphère </w:t>
            </w:r>
          </w:p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Financière: Rôle Médiateur de</w:t>
            </w:r>
          </w:p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l’Energie Renouvelable, </w:t>
            </w:r>
          </w:p>
          <w:p w:rsidR="00D66011" w:rsidRDefault="00D66011" w:rsidP="00D66011"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Fossile et Emission de CO2</w:t>
            </w:r>
          </w:p>
        </w:tc>
        <w:tc>
          <w:tcPr>
            <w:tcW w:w="2322" w:type="dxa"/>
          </w:tcPr>
          <w:p w:rsidR="00D66011" w:rsidRDefault="00D66011">
            <w:proofErr w:type="spellStart"/>
            <w:r>
              <w:t>Grichi</w:t>
            </w:r>
            <w:proofErr w:type="spellEnd"/>
            <w:r>
              <w:t xml:space="preserve"> Lilia </w:t>
            </w:r>
          </w:p>
        </w:tc>
        <w:tc>
          <w:tcPr>
            <w:tcW w:w="2322" w:type="dxa"/>
          </w:tcPr>
          <w:p w:rsidR="00D66011" w:rsidRDefault="00D66011">
            <w:r>
              <w:t>Kamel Naoui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>
            <w:r>
              <w:t>2024</w:t>
            </w:r>
          </w:p>
        </w:tc>
        <w:tc>
          <w:tcPr>
            <w:tcW w:w="3685" w:type="dxa"/>
          </w:tcPr>
          <w:p w:rsidR="00D66011" w:rsidRDefault="00D66011" w:rsidP="0010305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Essais en Finance internationale</w:t>
            </w:r>
          </w:p>
          <w:p w:rsidR="00D66011" w:rsidRDefault="00D66011" w:rsidP="0010305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: la diversification internationale</w:t>
            </w:r>
          </w:p>
          <w:p w:rsidR="00D66011" w:rsidRDefault="00D66011" w:rsidP="0010305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du portefeuille sur les marchés</w:t>
            </w:r>
          </w:p>
          <w:p w:rsidR="00D66011" w:rsidRDefault="00D66011" w:rsidP="0010305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des actions, des matières</w:t>
            </w:r>
          </w:p>
          <w:p w:rsidR="00D66011" w:rsidRDefault="00D66011" w:rsidP="0010305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premières et de la</w:t>
            </w:r>
          </w:p>
          <w:p w:rsidR="00D66011" w:rsidRPr="00971792" w:rsidRDefault="00D66011" w:rsidP="00103051">
            <w:pPr>
              <w:tabs>
                <w:tab w:val="right" w:pos="0"/>
              </w:tabs>
              <w:ind w:right="113"/>
              <w:rPr>
                <w:rFonts w:ascii="Cambria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  <w:proofErr w:type="spellStart"/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cryptomonnaie</w:t>
            </w:r>
            <w:proofErr w:type="spellEnd"/>
          </w:p>
        </w:tc>
        <w:tc>
          <w:tcPr>
            <w:tcW w:w="2322" w:type="dxa"/>
          </w:tcPr>
          <w:p w:rsidR="00D66011" w:rsidRDefault="00D66011">
            <w:r>
              <w:t xml:space="preserve">Ben </w:t>
            </w:r>
            <w:proofErr w:type="spellStart"/>
            <w:r>
              <w:t>Ezzeddine</w:t>
            </w:r>
            <w:proofErr w:type="spellEnd"/>
            <w:r>
              <w:t xml:space="preserve"> </w:t>
            </w:r>
            <w:proofErr w:type="spellStart"/>
            <w:r>
              <w:t>Salima</w:t>
            </w:r>
            <w:proofErr w:type="spellEnd"/>
            <w:r>
              <w:t xml:space="preserve"> </w:t>
            </w:r>
          </w:p>
        </w:tc>
        <w:tc>
          <w:tcPr>
            <w:tcW w:w="2322" w:type="dxa"/>
          </w:tcPr>
          <w:p w:rsidR="00D66011" w:rsidRDefault="00D66011">
            <w:r>
              <w:t>Kamel Naoui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>
            <w:r>
              <w:t>2024</w:t>
            </w:r>
          </w:p>
        </w:tc>
        <w:tc>
          <w:tcPr>
            <w:tcW w:w="3685" w:type="dxa"/>
          </w:tcPr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Qualité de l’information </w:t>
            </w:r>
          </w:p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comptable divulguée, </w:t>
            </w:r>
          </w:p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Audit externe et Coût du capital: Evidence empirique pour </w:t>
            </w:r>
          </w:p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le cas des </w:t>
            </w:r>
            <w:proofErr w:type="spellStart"/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enterprises</w:t>
            </w:r>
            <w:proofErr w:type="spellEnd"/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</w:p>
          <w:p w:rsidR="00D66011" w:rsidRDefault="00D66011" w:rsidP="00D66011"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tunisiennes</w:t>
            </w:r>
          </w:p>
        </w:tc>
        <w:tc>
          <w:tcPr>
            <w:tcW w:w="2322" w:type="dxa"/>
          </w:tcPr>
          <w:p w:rsidR="00D66011" w:rsidRDefault="00D66011">
            <w:proofErr w:type="spellStart"/>
            <w:r>
              <w:t>Dhaouadi</w:t>
            </w:r>
            <w:proofErr w:type="spellEnd"/>
            <w:r>
              <w:t xml:space="preserve"> </w:t>
            </w:r>
            <w:proofErr w:type="spellStart"/>
            <w:r>
              <w:t>Hanen</w:t>
            </w:r>
            <w:proofErr w:type="spellEnd"/>
          </w:p>
        </w:tc>
        <w:tc>
          <w:tcPr>
            <w:tcW w:w="2322" w:type="dxa"/>
          </w:tcPr>
          <w:p w:rsidR="00D66011" w:rsidRDefault="00D66011">
            <w:r>
              <w:t>Kamel Naoui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>
            <w:r>
              <w:t>2024</w:t>
            </w:r>
          </w:p>
        </w:tc>
        <w:tc>
          <w:tcPr>
            <w:tcW w:w="3685" w:type="dxa"/>
          </w:tcPr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Une étude approfondie des </w:t>
            </w:r>
            <w:proofErr w:type="spellStart"/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cryptomonnaies</w:t>
            </w:r>
            <w:proofErr w:type="spellEnd"/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 : efficience,</w:t>
            </w:r>
          </w:p>
          <w:p w:rsidR="00D66011" w:rsidRDefault="00D66011" w:rsidP="00D66011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risques et impact </w:t>
            </w:r>
          </w:p>
          <w:p w:rsidR="00D66011" w:rsidRDefault="00D66011" w:rsidP="00D66011">
            <w:r w:rsidRPr="00971792">
              <w:rPr>
                <w:rFonts w:ascii="Cambria" w:eastAsia="Calibri" w:hAnsi="Cambria" w:cs="Traditional Arabic"/>
                <w:color w:val="000000"/>
                <w:lang w:bidi="ar-TN"/>
              </w:rPr>
              <w:t>environnemental.</w:t>
            </w:r>
          </w:p>
        </w:tc>
        <w:tc>
          <w:tcPr>
            <w:tcW w:w="2322" w:type="dxa"/>
          </w:tcPr>
          <w:p w:rsidR="00D66011" w:rsidRDefault="00D66011">
            <w:proofErr w:type="spellStart"/>
            <w:r>
              <w:t>Barguellil</w:t>
            </w:r>
            <w:proofErr w:type="spellEnd"/>
            <w:r>
              <w:t xml:space="preserve"> </w:t>
            </w:r>
            <w:proofErr w:type="spellStart"/>
            <w:r>
              <w:t>Adel</w:t>
            </w:r>
            <w:proofErr w:type="spellEnd"/>
          </w:p>
        </w:tc>
        <w:tc>
          <w:tcPr>
            <w:tcW w:w="2322" w:type="dxa"/>
          </w:tcPr>
          <w:p w:rsidR="00D66011" w:rsidRDefault="00D66011">
            <w:r>
              <w:t>Kamel Naoui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>
            <w:r>
              <w:t>2024</w:t>
            </w:r>
          </w:p>
        </w:tc>
        <w:tc>
          <w:tcPr>
            <w:tcW w:w="3685" w:type="dxa"/>
          </w:tcPr>
          <w:p w:rsidR="00D66011" w:rsidRDefault="00D66011">
            <w:r w:rsidRPr="00971792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القيادة الإستراتيجية و أثرها على تعزيز التوجه الريادي في الجامعات الخاصة في بغداد</w:t>
            </w:r>
          </w:p>
        </w:tc>
        <w:tc>
          <w:tcPr>
            <w:tcW w:w="2322" w:type="dxa"/>
          </w:tcPr>
          <w:p w:rsidR="00D66011" w:rsidRDefault="00D66011">
            <w:r>
              <w:t xml:space="preserve">Ben </w:t>
            </w:r>
            <w:proofErr w:type="spellStart"/>
            <w:r>
              <w:t>Khedher</w:t>
            </w:r>
            <w:proofErr w:type="spellEnd"/>
            <w:r>
              <w:t xml:space="preserve"> Issa</w:t>
            </w:r>
          </w:p>
        </w:tc>
        <w:tc>
          <w:tcPr>
            <w:tcW w:w="2322" w:type="dxa"/>
          </w:tcPr>
          <w:p w:rsidR="00D66011" w:rsidRDefault="00D66011">
            <w:r>
              <w:t xml:space="preserve">Samir </w:t>
            </w:r>
            <w:proofErr w:type="spellStart"/>
            <w:r>
              <w:t>Srairi</w:t>
            </w:r>
            <w:proofErr w:type="spellEnd"/>
          </w:p>
        </w:tc>
      </w:tr>
      <w:tr w:rsidR="00D66011" w:rsidTr="007837F3">
        <w:tc>
          <w:tcPr>
            <w:tcW w:w="959" w:type="dxa"/>
          </w:tcPr>
          <w:p w:rsidR="00D66011" w:rsidRDefault="00052C17" w:rsidP="00103051">
            <w:r>
              <w:t>2024</w:t>
            </w:r>
          </w:p>
        </w:tc>
        <w:tc>
          <w:tcPr>
            <w:tcW w:w="3685" w:type="dxa"/>
          </w:tcPr>
          <w:p w:rsidR="00D66011" w:rsidRPr="00C40800" w:rsidRDefault="00D66011" w:rsidP="00103051">
            <w:pPr>
              <w:tabs>
                <w:tab w:val="right" w:pos="0"/>
              </w:tabs>
              <w:ind w:left="-57" w:right="-766"/>
              <w:rPr>
                <w:rFonts w:ascii="Cambria" w:hAnsi="Cambria" w:cs="Traditional Arabic"/>
                <w:color w:val="000000"/>
              </w:rPr>
            </w:pPr>
            <w:r w:rsidRPr="00C40800">
              <w:rPr>
                <w:rFonts w:ascii="Cambria" w:hAnsi="Cambria" w:cs="Traditional Arabic"/>
                <w:color w:val="000000"/>
              </w:rPr>
              <w:t xml:space="preserve">La </w:t>
            </w:r>
            <w:proofErr w:type="spellStart"/>
            <w:r w:rsidRPr="00C40800">
              <w:rPr>
                <w:rFonts w:ascii="Cambria" w:hAnsi="Cambria" w:cs="Traditional Arabic"/>
                <w:color w:val="000000"/>
              </w:rPr>
              <w:t>DiversificationInternationale</w:t>
            </w:r>
            <w:proofErr w:type="spellEnd"/>
            <w:r w:rsidRPr="00C40800">
              <w:rPr>
                <w:rFonts w:ascii="Cambria" w:hAnsi="Cambria" w:cs="Traditional Arabic"/>
                <w:color w:val="000000"/>
              </w:rPr>
              <w:t xml:space="preserve"> de</w:t>
            </w:r>
          </w:p>
          <w:p w:rsidR="00D66011" w:rsidRPr="00C40800" w:rsidRDefault="00D66011" w:rsidP="00103051">
            <w:pPr>
              <w:tabs>
                <w:tab w:val="right" w:pos="0"/>
              </w:tabs>
              <w:ind w:left="-57" w:right="-766"/>
              <w:rPr>
                <w:rFonts w:ascii="Cambria" w:hAnsi="Cambria" w:cs="Traditional Arabic"/>
                <w:color w:val="000000"/>
              </w:rPr>
            </w:pPr>
            <w:proofErr w:type="spellStart"/>
            <w:r w:rsidRPr="00C40800">
              <w:rPr>
                <w:rFonts w:ascii="Cambria" w:hAnsi="Cambria" w:cs="Traditional Arabic"/>
                <w:color w:val="000000"/>
              </w:rPr>
              <w:t>Portefeuillesd’actifs</w:t>
            </w:r>
            <w:proofErr w:type="spellEnd"/>
            <w:r w:rsidRPr="00C40800">
              <w:rPr>
                <w:rFonts w:ascii="Cambria" w:hAnsi="Cambria" w:cs="Traditional Arabic"/>
                <w:color w:val="000000"/>
              </w:rPr>
              <w:t xml:space="preserve"> financiers</w:t>
            </w:r>
          </w:p>
          <w:p w:rsidR="00D66011" w:rsidRPr="00C40800" w:rsidRDefault="00D66011" w:rsidP="00103051">
            <w:pPr>
              <w:tabs>
                <w:tab w:val="right" w:pos="0"/>
              </w:tabs>
              <w:ind w:left="-57" w:right="-766"/>
              <w:rPr>
                <w:rFonts w:ascii="Cambria" w:hAnsi="Cambria" w:cs="Traditional Arabic"/>
                <w:color w:val="000000"/>
              </w:rPr>
            </w:pPr>
            <w:r w:rsidRPr="00C40800">
              <w:rPr>
                <w:rFonts w:ascii="Cambria" w:hAnsi="Cambria" w:cs="Traditional Arabic"/>
                <w:color w:val="000000"/>
              </w:rPr>
              <w:t xml:space="preserve">: </w:t>
            </w:r>
            <w:proofErr w:type="spellStart"/>
            <w:r w:rsidRPr="00C40800">
              <w:rPr>
                <w:rFonts w:ascii="Cambria" w:hAnsi="Cambria" w:cs="Traditional Arabic"/>
                <w:color w:val="000000"/>
              </w:rPr>
              <w:t>Cryptomonnaies</w:t>
            </w:r>
            <w:proofErr w:type="gramStart"/>
            <w:r w:rsidRPr="00C40800">
              <w:rPr>
                <w:rFonts w:ascii="Cambria" w:hAnsi="Cambria" w:cs="Traditional Arabic"/>
                <w:color w:val="000000"/>
              </w:rPr>
              <w:t>,Crises</w:t>
            </w:r>
            <w:proofErr w:type="spellEnd"/>
            <w:proofErr w:type="gramEnd"/>
            <w:r w:rsidRPr="00C40800">
              <w:rPr>
                <w:rFonts w:ascii="Cambria" w:hAnsi="Cambria" w:cs="Traditional Arabic"/>
                <w:color w:val="000000"/>
              </w:rPr>
              <w:t xml:space="preserve"> Financières</w:t>
            </w:r>
          </w:p>
          <w:p w:rsidR="00D66011" w:rsidRPr="00C40800" w:rsidRDefault="00D66011" w:rsidP="00103051">
            <w:pPr>
              <w:tabs>
                <w:tab w:val="right" w:pos="0"/>
              </w:tabs>
              <w:ind w:left="-57" w:right="-766"/>
              <w:rPr>
                <w:rFonts w:ascii="Cambria" w:hAnsi="Cambria" w:cs="Traditional Arabic"/>
                <w:color w:val="000000"/>
                <w:rtl/>
              </w:rPr>
            </w:pPr>
            <w:r w:rsidRPr="00C40800">
              <w:rPr>
                <w:rFonts w:ascii="Cambria" w:hAnsi="Cambria" w:cs="Traditional Arabic"/>
                <w:color w:val="000000"/>
              </w:rPr>
              <w:t xml:space="preserve">et </w:t>
            </w:r>
            <w:proofErr w:type="spellStart"/>
            <w:r w:rsidRPr="00C40800">
              <w:rPr>
                <w:rFonts w:ascii="Cambria" w:hAnsi="Cambria" w:cs="Traditional Arabic"/>
                <w:color w:val="000000"/>
              </w:rPr>
              <w:t>Psychologiedes</w:t>
            </w:r>
            <w:proofErr w:type="spellEnd"/>
            <w:r w:rsidRPr="00C40800">
              <w:rPr>
                <w:rFonts w:ascii="Cambria" w:hAnsi="Cambria" w:cs="Traditional Arabic"/>
                <w:color w:val="000000"/>
              </w:rPr>
              <w:t xml:space="preserve"> investisseurs</w:t>
            </w:r>
          </w:p>
        </w:tc>
        <w:tc>
          <w:tcPr>
            <w:tcW w:w="2322" w:type="dxa"/>
          </w:tcPr>
          <w:p w:rsidR="00D66011" w:rsidRDefault="00D66011" w:rsidP="00103051">
            <w:proofErr w:type="spellStart"/>
            <w:r>
              <w:t>Atrous</w:t>
            </w:r>
            <w:proofErr w:type="spellEnd"/>
            <w:r>
              <w:t xml:space="preserve"> </w:t>
            </w:r>
            <w:proofErr w:type="spellStart"/>
            <w:r>
              <w:t>Rifa</w:t>
            </w:r>
            <w:proofErr w:type="spellEnd"/>
          </w:p>
        </w:tc>
        <w:tc>
          <w:tcPr>
            <w:tcW w:w="2322" w:type="dxa"/>
          </w:tcPr>
          <w:p w:rsidR="00D66011" w:rsidRDefault="00D66011" w:rsidP="00103051">
            <w:proofErr w:type="spellStart"/>
            <w:r>
              <w:t>Ezzeddine</w:t>
            </w:r>
            <w:proofErr w:type="spellEnd"/>
            <w:r>
              <w:t xml:space="preserve"> </w:t>
            </w:r>
            <w:proofErr w:type="spellStart"/>
            <w:r>
              <w:t>Ababoub</w:t>
            </w:r>
            <w:proofErr w:type="spellEnd"/>
            <w:r>
              <w:t xml:space="preserve"> 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 w:rsidP="00103051">
            <w:r>
              <w:t>2024</w:t>
            </w:r>
          </w:p>
        </w:tc>
        <w:tc>
          <w:tcPr>
            <w:tcW w:w="3685" w:type="dxa"/>
          </w:tcPr>
          <w:p w:rsidR="00D66011" w:rsidRPr="004C71D6" w:rsidRDefault="00D66011" w:rsidP="00D66011">
            <w:pPr>
              <w:tabs>
                <w:tab w:val="right" w:pos="0"/>
              </w:tabs>
              <w:ind w:left="57"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 xml:space="preserve">Corporate Governance and its </w:t>
            </w:r>
            <w:proofErr w:type="spellStart"/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Impacton</w:t>
            </w:r>
            <w:proofErr w:type="spellEnd"/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 xml:space="preserve"> Earning Management</w:t>
            </w:r>
          </w:p>
          <w:p w:rsidR="00D66011" w:rsidRPr="004C71D6" w:rsidRDefault="00D66011" w:rsidP="00D66011">
            <w:pPr>
              <w:tabs>
                <w:tab w:val="right" w:pos="0"/>
              </w:tabs>
              <w:ind w:left="57"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:</w:t>
            </w:r>
            <w:proofErr w:type="spellStart"/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Studyina</w:t>
            </w:r>
            <w:proofErr w:type="spellEnd"/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 xml:space="preserve"> Chosen Sample of</w:t>
            </w:r>
          </w:p>
          <w:p w:rsidR="00D66011" w:rsidRDefault="00D66011" w:rsidP="00D66011"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Companies Listed in The Iraqi Stock Exchange</w:t>
            </w:r>
          </w:p>
        </w:tc>
        <w:tc>
          <w:tcPr>
            <w:tcW w:w="2322" w:type="dxa"/>
          </w:tcPr>
          <w:p w:rsidR="00D66011" w:rsidRDefault="00D66011" w:rsidP="00D66011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Aqeel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Traditional Arabic"/>
                <w:color w:val="000000"/>
              </w:rPr>
              <w:t>Jabeur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</w:p>
          <w:p w:rsidR="00D66011" w:rsidRDefault="00D66011" w:rsidP="00D66011">
            <w:proofErr w:type="spellStart"/>
            <w:r>
              <w:rPr>
                <w:rFonts w:ascii="Cambria" w:hAnsi="Cambria" w:cs="Traditional Arabic"/>
                <w:color w:val="000000"/>
              </w:rPr>
              <w:t>Kadhim</w:t>
            </w:r>
            <w:proofErr w:type="spellEnd"/>
          </w:p>
        </w:tc>
        <w:tc>
          <w:tcPr>
            <w:tcW w:w="2322" w:type="dxa"/>
          </w:tcPr>
          <w:p w:rsidR="00D66011" w:rsidRDefault="00D66011" w:rsidP="00103051">
            <w:r>
              <w:t>Arfaoui Mongi</w:t>
            </w:r>
          </w:p>
        </w:tc>
      </w:tr>
      <w:tr w:rsidR="00D66011" w:rsidTr="007837F3">
        <w:tc>
          <w:tcPr>
            <w:tcW w:w="959" w:type="dxa"/>
          </w:tcPr>
          <w:p w:rsidR="00D66011" w:rsidRDefault="00052C17" w:rsidP="00103051">
            <w:r>
              <w:t>2024</w:t>
            </w:r>
          </w:p>
        </w:tc>
        <w:tc>
          <w:tcPr>
            <w:tcW w:w="3685" w:type="dxa"/>
          </w:tcPr>
          <w:p w:rsidR="00D66011" w:rsidRPr="004C71D6" w:rsidRDefault="00D66011" w:rsidP="00D66011">
            <w:pPr>
              <w:tabs>
                <w:tab w:val="right" w:pos="0"/>
              </w:tabs>
              <w:ind w:left="57"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Essays in International</w:t>
            </w:r>
          </w:p>
          <w:p w:rsidR="00D66011" w:rsidRPr="004C71D6" w:rsidRDefault="00D66011" w:rsidP="00D66011">
            <w:pPr>
              <w:tabs>
                <w:tab w:val="right" w:pos="0"/>
              </w:tabs>
              <w:ind w:left="57"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Finance: Contribution to Explain the Home Bias Puzzle in the</w:t>
            </w:r>
          </w:p>
          <w:p w:rsidR="00D66011" w:rsidRPr="004C71D6" w:rsidRDefault="00D66011" w:rsidP="00D66011">
            <w:pPr>
              <w:tabs>
                <w:tab w:val="right" w:pos="0"/>
              </w:tabs>
              <w:ind w:left="57" w:right="113"/>
              <w:rPr>
                <w:rFonts w:ascii="Cambria" w:eastAsia="Calibri" w:hAnsi="Cambria" w:cs="Traditional Arabic"/>
                <w:color w:val="000000"/>
                <w:lang w:val="en-US" w:bidi="ar-TN"/>
              </w:rPr>
            </w:pPr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 xml:space="preserve">Presence of </w:t>
            </w:r>
            <w:proofErr w:type="spellStart"/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Cryptocurrency</w:t>
            </w:r>
            <w:proofErr w:type="spellEnd"/>
          </w:p>
          <w:p w:rsidR="00D66011" w:rsidRDefault="00D66011" w:rsidP="00D66011">
            <w:r w:rsidRPr="004C71D6">
              <w:rPr>
                <w:rFonts w:ascii="Cambria" w:eastAsia="Calibri" w:hAnsi="Cambria" w:cs="Traditional Arabic"/>
                <w:color w:val="000000"/>
                <w:lang w:val="en-US" w:bidi="ar-TN"/>
              </w:rPr>
              <w:t>and Behavior Finance</w:t>
            </w:r>
          </w:p>
        </w:tc>
        <w:tc>
          <w:tcPr>
            <w:tcW w:w="2322" w:type="dxa"/>
          </w:tcPr>
          <w:p w:rsidR="00D66011" w:rsidRDefault="00D66011" w:rsidP="00103051">
            <w:proofErr w:type="spellStart"/>
            <w:r>
              <w:t>Grissa</w:t>
            </w:r>
            <w:proofErr w:type="spellEnd"/>
            <w:r>
              <w:t xml:space="preserve"> </w:t>
            </w:r>
            <w:proofErr w:type="spellStart"/>
            <w:r>
              <w:t>Intissar</w:t>
            </w:r>
            <w:proofErr w:type="spellEnd"/>
          </w:p>
        </w:tc>
        <w:tc>
          <w:tcPr>
            <w:tcW w:w="2322" w:type="dxa"/>
          </w:tcPr>
          <w:p w:rsidR="00D66011" w:rsidRDefault="00D66011" w:rsidP="00103051">
            <w:proofErr w:type="spellStart"/>
            <w:r>
              <w:t>Ezzeddine</w:t>
            </w:r>
            <w:proofErr w:type="spellEnd"/>
            <w:r>
              <w:t xml:space="preserve"> </w:t>
            </w:r>
            <w:proofErr w:type="spellStart"/>
            <w:r>
              <w:t>Ababoub</w:t>
            </w:r>
            <w:proofErr w:type="spellEnd"/>
          </w:p>
        </w:tc>
      </w:tr>
      <w:tr w:rsidR="00D66011" w:rsidTr="007837F3">
        <w:tc>
          <w:tcPr>
            <w:tcW w:w="959" w:type="dxa"/>
          </w:tcPr>
          <w:p w:rsidR="00D66011" w:rsidRDefault="00052C17" w:rsidP="00103051">
            <w:r>
              <w:t>2024</w:t>
            </w:r>
          </w:p>
        </w:tc>
        <w:tc>
          <w:tcPr>
            <w:tcW w:w="3685" w:type="dxa"/>
          </w:tcPr>
          <w:p w:rsidR="00D66011" w:rsidRPr="00D66011" w:rsidRDefault="00D66011" w:rsidP="00D66011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 w:themeColor="text1"/>
                <w:lang w:bidi="ar-TN"/>
              </w:rPr>
            </w:pPr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 xml:space="preserve">تحليل </w:t>
            </w:r>
            <w:proofErr w:type="spellStart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>إتجاهات</w:t>
            </w:r>
            <w:proofErr w:type="spellEnd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 xml:space="preserve"> </w:t>
            </w:r>
            <w:proofErr w:type="spellStart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>الإئتمان</w:t>
            </w:r>
            <w:proofErr w:type="spellEnd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 xml:space="preserve"> المصرفي و أثرها في دعم </w:t>
            </w:r>
            <w:proofErr w:type="spellStart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>الإستقرار</w:t>
            </w:r>
            <w:proofErr w:type="spellEnd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 xml:space="preserve"> المالي </w:t>
            </w:r>
            <w:proofErr w:type="spellStart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>لإقتصاد</w:t>
            </w:r>
            <w:proofErr w:type="spellEnd"/>
            <w:r w:rsidRPr="00D66011">
              <w:rPr>
                <w:rFonts w:ascii="Cambria" w:eastAsia="Calibri" w:hAnsi="Cambria" w:cs="Traditional Arabic"/>
                <w:color w:val="000000" w:themeColor="text1"/>
                <w:rtl/>
                <w:lang w:bidi="ar-TN"/>
              </w:rPr>
              <w:t xml:space="preserve"> العراقي دراسة حالة</w:t>
            </w:r>
          </w:p>
        </w:tc>
        <w:tc>
          <w:tcPr>
            <w:tcW w:w="2322" w:type="dxa"/>
          </w:tcPr>
          <w:p w:rsidR="00D66011" w:rsidRDefault="00D66011" w:rsidP="00103051">
            <w:proofErr w:type="spellStart"/>
            <w:r>
              <w:t>Abdelamir</w:t>
            </w:r>
            <w:proofErr w:type="spellEnd"/>
            <w:r>
              <w:t xml:space="preserve"> </w:t>
            </w:r>
            <w:proofErr w:type="spellStart"/>
            <w:r>
              <w:t>Douaa</w:t>
            </w:r>
            <w:proofErr w:type="spellEnd"/>
          </w:p>
        </w:tc>
        <w:tc>
          <w:tcPr>
            <w:tcW w:w="2322" w:type="dxa"/>
          </w:tcPr>
          <w:p w:rsidR="00D66011" w:rsidRDefault="00D66011" w:rsidP="00103051">
            <w:proofErr w:type="spellStart"/>
            <w:r>
              <w:t>Khémaies</w:t>
            </w:r>
            <w:proofErr w:type="spellEnd"/>
            <w:r>
              <w:t xml:space="preserve"> </w:t>
            </w:r>
            <w:proofErr w:type="spellStart"/>
            <w:r>
              <w:t>Bougatef</w:t>
            </w:r>
            <w:proofErr w:type="spellEnd"/>
          </w:p>
        </w:tc>
      </w:tr>
      <w:tr w:rsidR="00D000CE" w:rsidTr="007837F3">
        <w:tc>
          <w:tcPr>
            <w:tcW w:w="959" w:type="dxa"/>
          </w:tcPr>
          <w:p w:rsidR="00D000CE" w:rsidRDefault="00052C17" w:rsidP="00103051">
            <w:r>
              <w:t>2024</w:t>
            </w:r>
          </w:p>
        </w:tc>
        <w:tc>
          <w:tcPr>
            <w:tcW w:w="3685" w:type="dxa"/>
          </w:tcPr>
          <w:p w:rsidR="00D000CE" w:rsidRDefault="00D000CE" w:rsidP="0056484E">
            <w:pPr>
              <w:jc w:val="right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الخبير </w:t>
            </w:r>
            <w:proofErr w:type="spellStart"/>
            <w:r>
              <w:rPr>
                <w:rFonts w:cs="Arial"/>
                <w:rtl/>
              </w:rPr>
              <w:t>الأكتواري</w:t>
            </w:r>
            <w:proofErr w:type="spellEnd"/>
            <w:r>
              <w:rPr>
                <w:rFonts w:cs="Arial"/>
                <w:rtl/>
              </w:rPr>
              <w:t xml:space="preserve"> و دوره في تقييم المخاطر</w:t>
            </w:r>
          </w:p>
          <w:p w:rsidR="00D000CE" w:rsidRPr="00D66011" w:rsidRDefault="00D000CE" w:rsidP="0056484E">
            <w:pPr>
              <w:jc w:val="right"/>
              <w:rPr>
                <w:rFonts w:cs="Arial"/>
              </w:rPr>
            </w:pPr>
            <w:r w:rsidRPr="00D66011">
              <w:rPr>
                <w:rFonts w:cs="Arial"/>
                <w:rtl/>
              </w:rPr>
              <w:t>المالية في المؤسسات</w:t>
            </w:r>
            <w:r>
              <w:rPr>
                <w:rFonts w:cs="Arial"/>
              </w:rPr>
              <w:t xml:space="preserve"> </w:t>
            </w:r>
          </w:p>
          <w:p w:rsidR="00D000CE" w:rsidRPr="00D66011" w:rsidRDefault="00D000CE" w:rsidP="0056484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D66011">
              <w:rPr>
                <w:rFonts w:cs="Arial"/>
                <w:rtl/>
              </w:rPr>
              <w:t>دراسة حالة لشركات</w:t>
            </w:r>
          </w:p>
          <w:p w:rsidR="00D000CE" w:rsidRPr="00D66011" w:rsidRDefault="00D000CE" w:rsidP="0056484E">
            <w:pPr>
              <w:jc w:val="right"/>
              <w:rPr>
                <w:rFonts w:cs="Arial"/>
              </w:rPr>
            </w:pPr>
            <w:proofErr w:type="gramStart"/>
            <w:r w:rsidRPr="00D66011">
              <w:rPr>
                <w:rFonts w:cs="Arial"/>
                <w:rtl/>
              </w:rPr>
              <w:t>التأمين</w:t>
            </w:r>
            <w:proofErr w:type="gramEnd"/>
            <w:r w:rsidRPr="00D66011">
              <w:rPr>
                <w:rFonts w:cs="Arial"/>
                <w:rtl/>
              </w:rPr>
              <w:t xml:space="preserve"> و الهيئة العامة</w:t>
            </w:r>
          </w:p>
          <w:p w:rsidR="00D000CE" w:rsidRDefault="00D000CE" w:rsidP="0056484E">
            <w:pPr>
              <w:jc w:val="right"/>
            </w:pPr>
            <w:r w:rsidRPr="00D66011">
              <w:rPr>
                <w:rFonts w:cs="Arial"/>
                <w:rtl/>
              </w:rPr>
              <w:lastRenderedPageBreak/>
              <w:t xml:space="preserve">للتقاعد و دائرة </w:t>
            </w:r>
            <w:proofErr w:type="spellStart"/>
            <w:r w:rsidRPr="00D66011">
              <w:rPr>
                <w:rFonts w:cs="Arial"/>
                <w:rtl/>
              </w:rPr>
              <w:t>الضمانالإجتماعي</w:t>
            </w:r>
            <w:proofErr w:type="spellEnd"/>
            <w:r w:rsidRPr="00D66011">
              <w:rPr>
                <w:rFonts w:cs="Arial"/>
                <w:rtl/>
              </w:rPr>
              <w:t xml:space="preserve"> العراقي</w:t>
            </w:r>
          </w:p>
        </w:tc>
        <w:tc>
          <w:tcPr>
            <w:tcW w:w="2322" w:type="dxa"/>
          </w:tcPr>
          <w:p w:rsidR="00D000CE" w:rsidRDefault="00D000CE" w:rsidP="00103051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lastRenderedPageBreak/>
              <w:t>Sina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Ahmed </w:t>
            </w:r>
          </w:p>
          <w:p w:rsidR="00D000CE" w:rsidRPr="00971792" w:rsidRDefault="00D000CE" w:rsidP="00103051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Jarallha</w:t>
            </w:r>
            <w:proofErr w:type="spellEnd"/>
          </w:p>
        </w:tc>
        <w:tc>
          <w:tcPr>
            <w:tcW w:w="2322" w:type="dxa"/>
          </w:tcPr>
          <w:p w:rsidR="00D000CE" w:rsidRDefault="00D000CE" w:rsidP="00103051">
            <w:proofErr w:type="spellStart"/>
            <w:r>
              <w:t>Khémaies</w:t>
            </w:r>
            <w:proofErr w:type="spellEnd"/>
            <w:r>
              <w:t xml:space="preserve"> </w:t>
            </w:r>
            <w:proofErr w:type="spellStart"/>
            <w:r>
              <w:t>Bougatef</w:t>
            </w:r>
            <w:proofErr w:type="spellEnd"/>
          </w:p>
        </w:tc>
      </w:tr>
      <w:tr w:rsidR="00D000CE" w:rsidTr="007837F3">
        <w:tc>
          <w:tcPr>
            <w:tcW w:w="959" w:type="dxa"/>
          </w:tcPr>
          <w:p w:rsidR="00D000CE" w:rsidRDefault="00052C17" w:rsidP="00103051">
            <w:r>
              <w:lastRenderedPageBreak/>
              <w:t>2024</w:t>
            </w:r>
          </w:p>
        </w:tc>
        <w:tc>
          <w:tcPr>
            <w:tcW w:w="3685" w:type="dxa"/>
          </w:tcPr>
          <w:p w:rsidR="00D000CE" w:rsidRDefault="00D000CE" w:rsidP="0056484E">
            <w:pPr>
              <w:jc w:val="right"/>
            </w:pPr>
            <w:r w:rsidRPr="00D000CE">
              <w:rPr>
                <w:rFonts w:cs="Arial"/>
                <w:rtl/>
              </w:rPr>
              <w:t xml:space="preserve">قياس مدى </w:t>
            </w:r>
            <w:proofErr w:type="spellStart"/>
            <w:r w:rsidRPr="00D000CE">
              <w:rPr>
                <w:rFonts w:cs="Arial"/>
                <w:rtl/>
              </w:rPr>
              <w:t>إلتزام</w:t>
            </w:r>
            <w:proofErr w:type="spellEnd"/>
            <w:r w:rsidRPr="00D000CE">
              <w:rPr>
                <w:rFonts w:cs="Arial"/>
                <w:rtl/>
              </w:rPr>
              <w:t xml:space="preserve"> مراقب المحاسبات بأخلاقيات المهنة وقواعد السلوك المهني و المعايير عند تدقيق القوائم المالية و أثره في تحقيق عدالة التحاسب الضريبي دراسة تطبيقية في الهيئة العامة للضرائب وبعض مكاتب مراقبة وتدقيق الحسابات في العراق</w:t>
            </w:r>
          </w:p>
        </w:tc>
        <w:tc>
          <w:tcPr>
            <w:tcW w:w="2322" w:type="dxa"/>
          </w:tcPr>
          <w:p w:rsidR="00D000CE" w:rsidRDefault="00D000CE" w:rsidP="00D000CE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r>
              <w:rPr>
                <w:rFonts w:ascii="Cambria" w:hAnsi="Cambria" w:cs="Traditional Arabic"/>
                <w:color w:val="000000"/>
              </w:rPr>
              <w:t xml:space="preserve">Ali </w:t>
            </w:r>
            <w:proofErr w:type="spellStart"/>
            <w:r>
              <w:rPr>
                <w:rFonts w:ascii="Cambria" w:hAnsi="Cambria" w:cs="Traditional Arabic"/>
                <w:color w:val="000000"/>
              </w:rPr>
              <w:t>Ghanem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</w:p>
          <w:p w:rsidR="00D000CE" w:rsidRDefault="00D000CE" w:rsidP="00D000CE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Chaker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</w:p>
          <w:p w:rsidR="00D000CE" w:rsidRDefault="00D000CE" w:rsidP="00D000CE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Baghdadi</w:t>
            </w:r>
            <w:proofErr w:type="spellEnd"/>
          </w:p>
          <w:p w:rsidR="00D000CE" w:rsidRDefault="00D000CE" w:rsidP="00103051"/>
        </w:tc>
        <w:tc>
          <w:tcPr>
            <w:tcW w:w="2322" w:type="dxa"/>
          </w:tcPr>
          <w:p w:rsidR="00D000CE" w:rsidRDefault="00D000CE" w:rsidP="00103051">
            <w:proofErr w:type="spellStart"/>
            <w:r>
              <w:t>Khémaies</w:t>
            </w:r>
            <w:proofErr w:type="spellEnd"/>
            <w:r>
              <w:t xml:space="preserve"> </w:t>
            </w:r>
            <w:proofErr w:type="spellStart"/>
            <w:r>
              <w:t>Bougatef</w:t>
            </w:r>
            <w:proofErr w:type="spellEnd"/>
          </w:p>
        </w:tc>
      </w:tr>
      <w:tr w:rsidR="0056484E" w:rsidTr="007837F3">
        <w:tc>
          <w:tcPr>
            <w:tcW w:w="959" w:type="dxa"/>
          </w:tcPr>
          <w:p w:rsidR="0056484E" w:rsidRDefault="00052C17" w:rsidP="00103051">
            <w:r>
              <w:t>2024</w:t>
            </w:r>
          </w:p>
        </w:tc>
        <w:tc>
          <w:tcPr>
            <w:tcW w:w="3685" w:type="dxa"/>
          </w:tcPr>
          <w:p w:rsidR="0056484E" w:rsidRPr="00D7048C" w:rsidRDefault="0056484E" w:rsidP="0056484E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proofErr w:type="spellStart"/>
            <w:r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إنعكاس</w:t>
            </w:r>
            <w:proofErr w:type="spellEnd"/>
            <w:r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تبني معايير</w:t>
            </w:r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التدقيق الداخلي الدولية في جودة التحاسب الضريبي بالتطبيق في الهيئة</w:t>
            </w:r>
          </w:p>
          <w:p w:rsidR="0056484E" w:rsidRPr="00D7048C" w:rsidRDefault="0056484E" w:rsidP="0056484E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proofErr w:type="gramStart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لعامة</w:t>
            </w:r>
            <w:proofErr w:type="gramEnd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للضرائب</w:t>
            </w:r>
          </w:p>
          <w:p w:rsidR="0056484E" w:rsidRPr="00D7048C" w:rsidRDefault="0056484E" w:rsidP="0056484E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  <w:p w:rsidR="0056484E" w:rsidRPr="00D7048C" w:rsidRDefault="0056484E" w:rsidP="0056484E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</w:t>
            </w:r>
          </w:p>
          <w:p w:rsidR="0056484E" w:rsidRDefault="0056484E" w:rsidP="0056484E">
            <w:pPr>
              <w:jc w:val="right"/>
            </w:pPr>
          </w:p>
        </w:tc>
        <w:tc>
          <w:tcPr>
            <w:tcW w:w="2322" w:type="dxa"/>
          </w:tcPr>
          <w:p w:rsidR="0056484E" w:rsidRDefault="0056484E" w:rsidP="00103051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Alaa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Hussein</w:t>
            </w:r>
          </w:p>
          <w:p w:rsidR="0056484E" w:rsidRPr="00971792" w:rsidRDefault="0056484E" w:rsidP="00103051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Alwaan</w:t>
            </w:r>
            <w:proofErr w:type="spellEnd"/>
          </w:p>
        </w:tc>
        <w:tc>
          <w:tcPr>
            <w:tcW w:w="2322" w:type="dxa"/>
          </w:tcPr>
          <w:p w:rsidR="0056484E" w:rsidRDefault="0056484E" w:rsidP="00103051">
            <w:proofErr w:type="spellStart"/>
            <w:r>
              <w:t>Khémaies</w:t>
            </w:r>
            <w:proofErr w:type="spellEnd"/>
            <w:r>
              <w:t xml:space="preserve"> </w:t>
            </w:r>
            <w:proofErr w:type="spellStart"/>
            <w:r>
              <w:t>Bougatef</w:t>
            </w:r>
            <w:proofErr w:type="spellEnd"/>
          </w:p>
        </w:tc>
      </w:tr>
      <w:tr w:rsidR="0056484E" w:rsidTr="007837F3">
        <w:tc>
          <w:tcPr>
            <w:tcW w:w="959" w:type="dxa"/>
          </w:tcPr>
          <w:p w:rsidR="0056484E" w:rsidRDefault="00052C17" w:rsidP="00052C17">
            <w:r>
              <w:t>2024</w:t>
            </w:r>
          </w:p>
        </w:tc>
        <w:tc>
          <w:tcPr>
            <w:tcW w:w="3685" w:type="dxa"/>
          </w:tcPr>
          <w:p w:rsidR="007837F3" w:rsidRPr="00D7048C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دور تقنيات المعلومات و الخدمات المصرفية الإلكترونية في تعزيز</w:t>
            </w:r>
          </w:p>
          <w:p w:rsidR="007837F3" w:rsidRPr="00D7048C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proofErr w:type="gramStart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الشمول</w:t>
            </w:r>
            <w:proofErr w:type="gramEnd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المالي</w:t>
            </w:r>
          </w:p>
          <w:p w:rsidR="007837F3" w:rsidRPr="00D7048C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  <w:p w:rsidR="0056484E" w:rsidRDefault="0056484E" w:rsidP="00383A24"/>
        </w:tc>
        <w:tc>
          <w:tcPr>
            <w:tcW w:w="2322" w:type="dxa"/>
          </w:tcPr>
          <w:p w:rsidR="007837F3" w:rsidRDefault="007837F3" w:rsidP="007837F3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Emna</w:t>
            </w:r>
            <w:proofErr w:type="spellEnd"/>
          </w:p>
          <w:p w:rsidR="007837F3" w:rsidRDefault="007837F3" w:rsidP="007837F3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r>
              <w:rPr>
                <w:rFonts w:ascii="Cambria" w:hAnsi="Cambria" w:cs="Traditional Arabic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Traditional Arabic"/>
                <w:color w:val="000000"/>
              </w:rPr>
              <w:t>Abdelamir</w:t>
            </w:r>
            <w:proofErr w:type="spellEnd"/>
          </w:p>
          <w:p w:rsidR="0056484E" w:rsidRDefault="007837F3" w:rsidP="007837F3">
            <w:r>
              <w:rPr>
                <w:rFonts w:ascii="Cambria" w:hAnsi="Cambria" w:cs="Traditional Arabic"/>
                <w:color w:val="000000"/>
              </w:rPr>
              <w:t>Abdelhakim</w:t>
            </w:r>
          </w:p>
        </w:tc>
        <w:tc>
          <w:tcPr>
            <w:tcW w:w="2322" w:type="dxa"/>
          </w:tcPr>
          <w:p w:rsidR="0056484E" w:rsidRDefault="007837F3" w:rsidP="00103051">
            <w:r>
              <w:t>Arfaoui Mongi</w:t>
            </w:r>
          </w:p>
        </w:tc>
      </w:tr>
      <w:tr w:rsidR="0056484E" w:rsidTr="007837F3">
        <w:tc>
          <w:tcPr>
            <w:tcW w:w="959" w:type="dxa"/>
          </w:tcPr>
          <w:p w:rsidR="0056484E" w:rsidRDefault="00052C17" w:rsidP="00103051">
            <w:r>
              <w:t>2024</w:t>
            </w:r>
          </w:p>
        </w:tc>
        <w:tc>
          <w:tcPr>
            <w:tcW w:w="3685" w:type="dxa"/>
          </w:tcPr>
          <w:p w:rsidR="007837F3" w:rsidRPr="00D7048C" w:rsidRDefault="00383A24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الخصائص النوعية في </w:t>
            </w:r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التقارير </w:t>
            </w:r>
            <w:proofErr w:type="spellStart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الماليةو</w:t>
            </w:r>
            <w:proofErr w:type="spellEnd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أثرها</w:t>
            </w: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على رأي مراجع الحسابات دراسة</w:t>
            </w: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تحليلية لعينة من البيانات المالية للشركات المساهمة المدرجة </w:t>
            </w:r>
            <w:r w:rsidR="007837F3"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في سوق العراق للأوراق</w:t>
            </w:r>
          </w:p>
          <w:p w:rsidR="007837F3" w:rsidRPr="00D7048C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                                                         </w:t>
            </w:r>
            <w:proofErr w:type="gramStart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المالية</w:t>
            </w:r>
            <w:proofErr w:type="gramEnd"/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</w:p>
          <w:p w:rsidR="00383A24" w:rsidRPr="00D7048C" w:rsidRDefault="00383A24" w:rsidP="007837F3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  <w:p w:rsidR="0056484E" w:rsidRDefault="0056484E" w:rsidP="00103051"/>
        </w:tc>
        <w:tc>
          <w:tcPr>
            <w:tcW w:w="2322" w:type="dxa"/>
          </w:tcPr>
          <w:p w:rsidR="007837F3" w:rsidRDefault="007837F3" w:rsidP="007837F3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Louay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Traditional Arabic"/>
                <w:color w:val="000000"/>
              </w:rPr>
              <w:t>Taki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</w:p>
          <w:p w:rsidR="0056484E" w:rsidRDefault="007837F3" w:rsidP="007837F3">
            <w:proofErr w:type="spellStart"/>
            <w:r>
              <w:rPr>
                <w:rFonts w:ascii="Cambria" w:hAnsi="Cambria" w:cs="Traditional Arabic"/>
                <w:color w:val="000000"/>
              </w:rPr>
              <w:t>Kadhim</w:t>
            </w:r>
            <w:proofErr w:type="spellEnd"/>
          </w:p>
        </w:tc>
        <w:tc>
          <w:tcPr>
            <w:tcW w:w="2322" w:type="dxa"/>
          </w:tcPr>
          <w:p w:rsidR="0056484E" w:rsidRDefault="007837F3" w:rsidP="00103051">
            <w:proofErr w:type="spellStart"/>
            <w:r>
              <w:t>Khémaies</w:t>
            </w:r>
            <w:proofErr w:type="spellEnd"/>
            <w:r>
              <w:t xml:space="preserve"> </w:t>
            </w:r>
            <w:proofErr w:type="spellStart"/>
            <w:r>
              <w:t>Bougatef</w:t>
            </w:r>
            <w:proofErr w:type="spellEnd"/>
          </w:p>
        </w:tc>
      </w:tr>
      <w:tr w:rsidR="007837F3" w:rsidTr="006B3549">
        <w:tc>
          <w:tcPr>
            <w:tcW w:w="959" w:type="dxa"/>
          </w:tcPr>
          <w:p w:rsidR="007837F3" w:rsidRDefault="00052C17" w:rsidP="006B3549">
            <w:r>
              <w:t>2024</w:t>
            </w:r>
          </w:p>
        </w:tc>
        <w:tc>
          <w:tcPr>
            <w:tcW w:w="3685" w:type="dxa"/>
          </w:tcPr>
          <w:p w:rsidR="007837F3" w:rsidRPr="00D7048C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جودة الإفصاح المالي </w:t>
            </w:r>
            <w:proofErr w:type="spellStart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وحوكمة</w:t>
            </w:r>
            <w:proofErr w:type="spellEnd"/>
            <w:r w:rsidRPr="00D7048C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البنوك التجارية (دراسة تطبيقية في عينة من المصارف المدرجة في سوق العراق للأوراق المالية</w:t>
            </w:r>
            <w:r w:rsidRPr="00D7048C">
              <w:rPr>
                <w:rFonts w:ascii="Cambria" w:eastAsia="Calibri" w:hAnsi="Cambria" w:cs="Traditional Arabic"/>
                <w:color w:val="000000"/>
                <w:lang w:bidi="ar-TN"/>
              </w:rPr>
              <w:t>)</w:t>
            </w:r>
          </w:p>
          <w:p w:rsidR="007837F3" w:rsidRPr="00D7048C" w:rsidRDefault="007837F3" w:rsidP="007837F3">
            <w:pPr>
              <w:tabs>
                <w:tab w:val="right" w:pos="0"/>
              </w:tabs>
              <w:ind w:left="57"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  <w:p w:rsidR="007837F3" w:rsidRPr="007837F3" w:rsidRDefault="007837F3" w:rsidP="007837F3">
            <w:pPr>
              <w:tabs>
                <w:tab w:val="right" w:pos="0"/>
              </w:tabs>
              <w:ind w:right="113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</w:tc>
        <w:tc>
          <w:tcPr>
            <w:tcW w:w="2322" w:type="dxa"/>
          </w:tcPr>
          <w:p w:rsidR="007837F3" w:rsidRDefault="007837F3" w:rsidP="007837F3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r>
              <w:rPr>
                <w:rFonts w:ascii="Cambria" w:hAnsi="Cambria" w:cs="Traditional Arabic"/>
                <w:color w:val="000000"/>
              </w:rPr>
              <w:t>Karim</w:t>
            </w:r>
          </w:p>
          <w:p w:rsidR="007837F3" w:rsidRDefault="007837F3" w:rsidP="007837F3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r>
              <w:rPr>
                <w:rFonts w:ascii="Cambria" w:hAnsi="Cambria" w:cs="Traditional Arabic"/>
                <w:color w:val="000000"/>
              </w:rPr>
              <w:t xml:space="preserve"> Hassan</w:t>
            </w:r>
          </w:p>
          <w:p w:rsidR="007837F3" w:rsidRDefault="007837F3" w:rsidP="007837F3">
            <w:r>
              <w:rPr>
                <w:rFonts w:ascii="Cambria" w:hAnsi="Cambria" w:cs="Traditional Arabic"/>
                <w:color w:val="000000"/>
              </w:rPr>
              <w:t xml:space="preserve"> Ali </w:t>
            </w:r>
            <w:proofErr w:type="spellStart"/>
            <w:r>
              <w:rPr>
                <w:rFonts w:ascii="Cambria" w:hAnsi="Cambria" w:cs="Traditional Arabic"/>
                <w:color w:val="000000"/>
              </w:rPr>
              <w:t>Alouani</w:t>
            </w:r>
            <w:proofErr w:type="spellEnd"/>
          </w:p>
        </w:tc>
        <w:tc>
          <w:tcPr>
            <w:tcW w:w="2322" w:type="dxa"/>
          </w:tcPr>
          <w:p w:rsidR="007837F3" w:rsidRDefault="007837F3" w:rsidP="006B3549">
            <w:r>
              <w:t>Arfaoui Mongi</w:t>
            </w:r>
          </w:p>
        </w:tc>
      </w:tr>
      <w:tr w:rsidR="007837F3" w:rsidTr="006B3549">
        <w:tc>
          <w:tcPr>
            <w:tcW w:w="959" w:type="dxa"/>
          </w:tcPr>
          <w:p w:rsidR="007837F3" w:rsidRDefault="00052C17" w:rsidP="006B3549">
            <w:r>
              <w:t>2024</w:t>
            </w:r>
          </w:p>
        </w:tc>
        <w:tc>
          <w:tcPr>
            <w:tcW w:w="3685" w:type="dxa"/>
          </w:tcPr>
          <w:p w:rsidR="007837F3" w:rsidRDefault="007837F3" w:rsidP="007837F3">
            <w:pPr>
              <w:tabs>
                <w:tab w:val="right" w:pos="0"/>
              </w:tabs>
              <w:ind w:left="57" w:right="113"/>
            </w:pPr>
          </w:p>
          <w:p w:rsidR="007837F3" w:rsidRPr="00C45C86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C45C86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دور </w:t>
            </w:r>
            <w:proofErr w:type="spellStart"/>
            <w:r w:rsidRPr="00C45C86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الإستثمار</w:t>
            </w:r>
            <w:proofErr w:type="spellEnd"/>
            <w:r w:rsidRPr="00C45C86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الأجنبي المباشر في تعزيز الأداء</w:t>
            </w:r>
          </w:p>
          <w:p w:rsidR="007837F3" w:rsidRPr="00C45C86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C45C86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المالي و انعكاسه </w:t>
            </w:r>
            <w:proofErr w:type="gramStart"/>
            <w:r w:rsidRPr="00C45C86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على</w:t>
            </w:r>
            <w:proofErr w:type="gramEnd"/>
          </w:p>
          <w:p w:rsidR="007837F3" w:rsidRPr="00C45C86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C45C86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عائد ومخاطرة الأسهم</w:t>
            </w:r>
          </w:p>
          <w:p w:rsidR="007837F3" w:rsidRDefault="007837F3" w:rsidP="007837F3"/>
        </w:tc>
        <w:tc>
          <w:tcPr>
            <w:tcW w:w="2322" w:type="dxa"/>
          </w:tcPr>
          <w:p w:rsidR="007837F3" w:rsidRDefault="007837F3" w:rsidP="007837F3">
            <w:pPr>
              <w:tabs>
                <w:tab w:val="right" w:pos="0"/>
              </w:tabs>
              <w:ind w:right="-766"/>
              <w:rPr>
                <w:rFonts w:ascii="Cambria" w:hAnsi="Cambria" w:cs="Traditional Arabic"/>
                <w:color w:val="000000"/>
              </w:rPr>
            </w:pPr>
            <w:proofErr w:type="spellStart"/>
            <w:r>
              <w:rPr>
                <w:rFonts w:ascii="Cambria" w:hAnsi="Cambria" w:cs="Traditional Arabic"/>
                <w:color w:val="000000"/>
              </w:rPr>
              <w:t>Haythem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</w:p>
          <w:p w:rsidR="007837F3" w:rsidRDefault="007837F3" w:rsidP="007837F3">
            <w:proofErr w:type="spellStart"/>
            <w:r>
              <w:rPr>
                <w:rFonts w:ascii="Cambria" w:hAnsi="Cambria" w:cs="Traditional Arabic"/>
                <w:color w:val="000000"/>
              </w:rPr>
              <w:t>Abdenabi</w:t>
            </w:r>
            <w:proofErr w:type="spellEnd"/>
          </w:p>
        </w:tc>
        <w:tc>
          <w:tcPr>
            <w:tcW w:w="2322" w:type="dxa"/>
          </w:tcPr>
          <w:p w:rsidR="007837F3" w:rsidRDefault="007837F3" w:rsidP="006B3549">
            <w:proofErr w:type="spellStart"/>
            <w:r>
              <w:t>Srairi</w:t>
            </w:r>
            <w:proofErr w:type="spellEnd"/>
            <w:r>
              <w:t xml:space="preserve"> Samir</w:t>
            </w:r>
          </w:p>
        </w:tc>
      </w:tr>
      <w:tr w:rsidR="007837F3" w:rsidTr="006B3549">
        <w:tc>
          <w:tcPr>
            <w:tcW w:w="959" w:type="dxa"/>
          </w:tcPr>
          <w:p w:rsidR="007837F3" w:rsidRDefault="00052C17" w:rsidP="006B3549">
            <w:r>
              <w:t>2024</w:t>
            </w:r>
          </w:p>
        </w:tc>
        <w:tc>
          <w:tcPr>
            <w:tcW w:w="3685" w:type="dxa"/>
          </w:tcPr>
          <w:p w:rsidR="007837F3" w:rsidRDefault="007837F3" w:rsidP="007837F3">
            <w:pPr>
              <w:tabs>
                <w:tab w:val="right" w:pos="0"/>
              </w:tabs>
              <w:ind w:right="113"/>
              <w:jc w:val="right"/>
            </w:pPr>
          </w:p>
          <w:p w:rsidR="007837F3" w:rsidRDefault="00750A33" w:rsidP="00750A3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البرامج والأداء في ظل</w:t>
            </w: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موازنة</w:t>
            </w: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تطبيق </w:t>
            </w: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  <w:proofErr w:type="spellStart"/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اهمية</w:t>
            </w:r>
            <w:proofErr w:type="spellEnd"/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</w:p>
          <w:p w:rsidR="007837F3" w:rsidRPr="00D647B0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  <w:p w:rsidR="007837F3" w:rsidRPr="00D647B0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أحكام </w:t>
            </w:r>
            <w:proofErr w:type="spellStart"/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وإجراأت</w:t>
            </w:r>
            <w:proofErr w:type="spellEnd"/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الرقابة المالية كمدخل</w:t>
            </w:r>
          </w:p>
          <w:p w:rsidR="007837F3" w:rsidRPr="00D647B0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</w:p>
          <w:p w:rsidR="007837F3" w:rsidRPr="00D647B0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proofErr w:type="gramStart"/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أساسي</w:t>
            </w:r>
            <w:proofErr w:type="gramEnd"/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 xml:space="preserve"> لترشيد النفقات</w:t>
            </w:r>
          </w:p>
          <w:p w:rsidR="007837F3" w:rsidRPr="00D647B0" w:rsidRDefault="007837F3" w:rsidP="007837F3">
            <w:pPr>
              <w:tabs>
                <w:tab w:val="right" w:pos="0"/>
              </w:tabs>
              <w:ind w:left="57" w:right="113"/>
              <w:jc w:val="right"/>
              <w:rPr>
                <w:rFonts w:ascii="Cambria" w:eastAsia="Calibri" w:hAnsi="Cambria" w:cs="Traditional Arabic"/>
                <w:color w:val="000000"/>
                <w:lang w:bidi="ar-TN"/>
              </w:rPr>
            </w:pPr>
            <w:r w:rsidRPr="00D647B0">
              <w:rPr>
                <w:rFonts w:ascii="Cambria" w:eastAsia="Calibri" w:hAnsi="Cambria" w:cs="Traditional Arabic"/>
                <w:color w:val="000000"/>
                <w:rtl/>
                <w:lang w:bidi="ar-TN"/>
              </w:rPr>
              <w:t>وسد العجز الحكومي2024</w:t>
            </w:r>
            <w:r>
              <w:rPr>
                <w:rFonts w:ascii="Cambria" w:eastAsia="Calibri" w:hAnsi="Cambria" w:cs="Traditional Arabic"/>
                <w:color w:val="000000"/>
                <w:lang w:bidi="ar-TN"/>
              </w:rPr>
              <w:t xml:space="preserve"> </w:t>
            </w:r>
          </w:p>
          <w:p w:rsidR="007837F3" w:rsidRDefault="007837F3" w:rsidP="006B3549"/>
        </w:tc>
        <w:tc>
          <w:tcPr>
            <w:tcW w:w="2322" w:type="dxa"/>
          </w:tcPr>
          <w:p w:rsidR="007837F3" w:rsidRDefault="00750A33" w:rsidP="006B3549">
            <w:proofErr w:type="spellStart"/>
            <w:r>
              <w:rPr>
                <w:rFonts w:ascii="Cambria" w:hAnsi="Cambria" w:cs="Traditional Arabic"/>
                <w:color w:val="000000"/>
              </w:rPr>
              <w:t>Aous</w:t>
            </w:r>
            <w:proofErr w:type="spellEnd"/>
            <w:r>
              <w:rPr>
                <w:rFonts w:ascii="Cambria" w:hAnsi="Cambria" w:cs="Traditional Arabic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Traditional Arabic"/>
                <w:color w:val="000000"/>
              </w:rPr>
              <w:t>Aloui</w:t>
            </w:r>
            <w:proofErr w:type="spellEnd"/>
          </w:p>
        </w:tc>
        <w:tc>
          <w:tcPr>
            <w:tcW w:w="2322" w:type="dxa"/>
          </w:tcPr>
          <w:p w:rsidR="007837F3" w:rsidRDefault="00750A33" w:rsidP="006B3549">
            <w:r>
              <w:t>Arfaoui Mongi</w:t>
            </w:r>
          </w:p>
        </w:tc>
      </w:tr>
    </w:tbl>
    <w:p w:rsidR="004E472A" w:rsidRDefault="00052C17"/>
    <w:sectPr w:rsidR="004E472A" w:rsidSect="0010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D66011"/>
    <w:rsid w:val="00052C17"/>
    <w:rsid w:val="001078C9"/>
    <w:rsid w:val="00234DAD"/>
    <w:rsid w:val="00253FA2"/>
    <w:rsid w:val="002E5CB6"/>
    <w:rsid w:val="00383A24"/>
    <w:rsid w:val="00405222"/>
    <w:rsid w:val="00490121"/>
    <w:rsid w:val="00511B5C"/>
    <w:rsid w:val="0056484E"/>
    <w:rsid w:val="0056572B"/>
    <w:rsid w:val="00733102"/>
    <w:rsid w:val="00750A33"/>
    <w:rsid w:val="007837F3"/>
    <w:rsid w:val="007F0316"/>
    <w:rsid w:val="00A11F2D"/>
    <w:rsid w:val="00BD518B"/>
    <w:rsid w:val="00C71E9F"/>
    <w:rsid w:val="00D000CE"/>
    <w:rsid w:val="00D66011"/>
    <w:rsid w:val="00DC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6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HP09</dc:creator>
  <cp:lastModifiedBy>HP09</cp:lastModifiedBy>
  <cp:revision>3</cp:revision>
  <dcterms:created xsi:type="dcterms:W3CDTF">2025-07-21T12:36:00Z</dcterms:created>
  <dcterms:modified xsi:type="dcterms:W3CDTF">2025-10-13T10:14:00Z</dcterms:modified>
</cp:coreProperties>
</file>